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1FB7B" w14:textId="3F6B295C" w:rsidR="007923F8" w:rsidRPr="007923F8" w:rsidRDefault="007923F8" w:rsidP="007923F8">
      <w:pPr>
        <w:spacing w:line="16" w:lineRule="atLeast"/>
        <w:jc w:val="both"/>
        <w:rPr>
          <w:b/>
          <w:bCs/>
        </w:rPr>
      </w:pPr>
      <w:r w:rsidRPr="007923F8">
        <w:rPr>
          <w:b/>
          <w:bCs/>
        </w:rPr>
        <w:t xml:space="preserve">Informacje udostępniane przez </w:t>
      </w:r>
      <w:r w:rsidRPr="007923F8">
        <w:rPr>
          <w:b/>
          <w:bCs/>
        </w:rPr>
        <w:t xml:space="preserve">Independent </w:t>
      </w:r>
      <w:proofErr w:type="spellStart"/>
      <w:r w:rsidRPr="007923F8">
        <w:rPr>
          <w:b/>
          <w:bCs/>
        </w:rPr>
        <w:t>Asset</w:t>
      </w:r>
      <w:proofErr w:type="spellEnd"/>
      <w:r w:rsidRPr="007923F8">
        <w:rPr>
          <w:b/>
          <w:bCs/>
        </w:rPr>
        <w:t xml:space="preserve"> Management Sp. z o.o. / Z</w:t>
      </w:r>
      <w:r w:rsidR="00D86E3D">
        <w:rPr>
          <w:b/>
          <w:bCs/>
        </w:rPr>
        <w:t>arządzającego Alternatywnymi Spółkami Inwestycyjnymi</w:t>
      </w:r>
    </w:p>
    <w:p w14:paraId="7A1D85F3" w14:textId="6ABCD3C2" w:rsidR="007923F8" w:rsidRDefault="007923F8" w:rsidP="007923F8">
      <w:pPr>
        <w:spacing w:line="16" w:lineRule="atLeast"/>
        <w:jc w:val="both"/>
      </w:pPr>
      <w:r>
        <w:t>w</w:t>
      </w:r>
      <w:r>
        <w:t xml:space="preserve"> związku z</w:t>
      </w:r>
      <w:r>
        <w:t xml:space="preserve"> wykonani</w:t>
      </w:r>
      <w:r>
        <w:t>em</w:t>
      </w:r>
      <w:r>
        <w:t xml:space="preserve"> wymogów wynikających z Rozporządzenia Parlamentu Europejskiego i Rady (UE) 2019/2088 z dnia 27 </w:t>
      </w:r>
      <w:r w:rsidR="006842B9">
        <w:t>l</w:t>
      </w:r>
      <w:r>
        <w:t xml:space="preserve">istopada 2019 r. w sprawie ujawniania informacji związanych ze zrównoważonym rozwojem w sektorze usług finansowych (dalej „Rozporządzenie SFDR”)  </w:t>
      </w:r>
    </w:p>
    <w:p w14:paraId="59A8C2E5" w14:textId="77777777" w:rsidR="007923F8" w:rsidRDefault="007923F8" w:rsidP="007923F8">
      <w:pPr>
        <w:spacing w:line="16" w:lineRule="atLeast"/>
        <w:jc w:val="both"/>
      </w:pPr>
      <w:r>
        <w:t xml:space="preserve">oraz  </w:t>
      </w:r>
    </w:p>
    <w:p w14:paraId="142B71EF" w14:textId="22CFF71B" w:rsidR="007923F8" w:rsidRDefault="007923F8" w:rsidP="007923F8">
      <w:pPr>
        <w:spacing w:line="16" w:lineRule="atLeast"/>
        <w:jc w:val="both"/>
      </w:pPr>
      <w:r>
        <w:t>ROZPORZĄDZENIA DELEGOWANEGO KOMISJI (UE) 2022/1288 z dnia 6 kwietnia 2022 r. uzupełniające rozporządzenie Parlamentu Europejskiego i Rady (UE) 2019/2088 w zakresie regulacyjnych standardów technicznych określających szczegóły dotyczące treści i sposobu prezentacji informacji w odniesieniu do zasady "nie czyń poważnych szkód", określających treść, metody i sposób prezentacji informacji w odniesieniu do wskaźników zrównoważonego rozwoju i niekorzystnych skutków dla zrównoważonego rozwoju, a także określających treść i sposób prezentacji informacji w odniesieniu do promowania aspektów środowiskowych lub społecznych i celów dotyczących zrównoważonych inwestycji w dokumentach udostępnianych przed zawarciem umowy, na stronach internetowych i w sprawozdaniach okresowych (dalej „Rozporządzenie Delegowane SFDR”</w:t>
      </w:r>
    </w:p>
    <w:p w14:paraId="7339744B" w14:textId="7FA265E1" w:rsidR="007923F8" w:rsidRDefault="007923F8" w:rsidP="007923F8">
      <w:pPr>
        <w:spacing w:line="16" w:lineRule="atLeast"/>
        <w:jc w:val="both"/>
      </w:pPr>
      <w:r>
        <w:t xml:space="preserve"> </w:t>
      </w:r>
    </w:p>
    <w:p w14:paraId="7E2F5F59" w14:textId="77777777" w:rsidR="007923F8" w:rsidRDefault="007923F8" w:rsidP="007923F8">
      <w:pPr>
        <w:spacing w:line="16" w:lineRule="atLeast"/>
        <w:jc w:val="both"/>
      </w:pPr>
      <w:r>
        <w:t xml:space="preserve">I. Wprowadzenie </w:t>
      </w:r>
    </w:p>
    <w:p w14:paraId="1E6E62A2" w14:textId="6BF28341" w:rsidR="007923F8" w:rsidRDefault="007923F8" w:rsidP="007923F8">
      <w:pPr>
        <w:spacing w:line="16" w:lineRule="atLeast"/>
        <w:jc w:val="both"/>
      </w:pPr>
      <w:r>
        <w:t>Rozporządzenie SFDR ustanawia zharmonizowane przepisy dla uczestników rynku finansowego i doradców finansowych, dotyczące przejrzystości w odniesieniu do wprowadzania do działalności ryzyk</w:t>
      </w:r>
      <w:r w:rsidR="00F54652">
        <w:t>a</w:t>
      </w:r>
      <w:r>
        <w:t xml:space="preserve"> dla zrównoważonego rozwoju oraz brania pod uwagę niekorzystnych skutków dla zrównoważonego rozwoju w prowadzonych przez nich działaniach, a także w odniesieniu do przedstawiania przez nich informacji związanych ze zrównoważonym rozwojem na temat produktów finansowych.  </w:t>
      </w:r>
    </w:p>
    <w:p w14:paraId="40C52764" w14:textId="064DD3C9" w:rsidR="007923F8" w:rsidRDefault="007923F8" w:rsidP="007923F8">
      <w:pPr>
        <w:spacing w:line="16" w:lineRule="atLeast"/>
        <w:jc w:val="both"/>
      </w:pPr>
      <w:r>
        <w:t xml:space="preserve">Spółka </w:t>
      </w:r>
      <w:r>
        <w:t xml:space="preserve">Independent </w:t>
      </w:r>
      <w:proofErr w:type="spellStart"/>
      <w:r>
        <w:t>Asset</w:t>
      </w:r>
      <w:proofErr w:type="spellEnd"/>
      <w:r>
        <w:t xml:space="preserve"> Management Sp. z o.o. / ZASI</w:t>
      </w:r>
      <w:r>
        <w:t xml:space="preserve"> S.A. (dalej „ZASI” albo „ASI”) jest objęta zakresem stosowania Rozporządzenia SFDR jako:  </w:t>
      </w:r>
    </w:p>
    <w:p w14:paraId="1F931F28" w14:textId="05FEFDFD" w:rsidR="007923F8" w:rsidRDefault="007923F8" w:rsidP="007923F8">
      <w:pPr>
        <w:spacing w:line="16" w:lineRule="atLeast"/>
        <w:jc w:val="both"/>
      </w:pPr>
      <w:r>
        <w:t xml:space="preserve"> ▪ uczestnik rynku finansowego, ponieważ jest zarządzającym alternatywnymi spółkami</w:t>
      </w:r>
      <w:r>
        <w:t xml:space="preserve"> </w:t>
      </w:r>
      <w:r>
        <w:t xml:space="preserve">inwestycyjnymi (ZASI) czyli na gruncie prawa europejskiego zarządzającym alternatywnymi funduszami inwestycyjnymi (ZAFI); </w:t>
      </w:r>
    </w:p>
    <w:p w14:paraId="43E03A69" w14:textId="22629081" w:rsidR="007923F8" w:rsidRDefault="007923F8" w:rsidP="007923F8">
      <w:pPr>
        <w:spacing w:line="16" w:lineRule="atLeast"/>
        <w:jc w:val="both"/>
      </w:pPr>
      <w:r>
        <w:t xml:space="preserve">▪ produkt finansowy ponieważ jest alternatywną spółką inwestycyjnymi (ASI) czyli na gruncie prawa europejskiego alternatywnym funduszem inwestycyjnym (AFI).  </w:t>
      </w:r>
    </w:p>
    <w:p w14:paraId="1323419E" w14:textId="204956A8" w:rsidR="007923F8" w:rsidRDefault="007923F8" w:rsidP="007923F8">
      <w:pPr>
        <w:spacing w:line="16" w:lineRule="atLeast"/>
        <w:jc w:val="both"/>
      </w:pPr>
      <w:r>
        <w:t xml:space="preserve">Z uwagi na fakt, że ZASI działa jedynie na podstawie wpisu do rejestru prowadzonego przez Komisję  Nadzoru Finansowego (dalej „KNF”), cześć regulacji Rozporządzenia SFDR zostanie zastosowana na zasadzie analogii zgodnie z wytycznymi Europejskiego Urzędu Nadzoru Giełd i Papierów Wartościowych oraz stanowiskami Komisji Nadzoru Finansowego. </w:t>
      </w:r>
    </w:p>
    <w:p w14:paraId="446DD6C3" w14:textId="77777777" w:rsidR="007923F8" w:rsidRDefault="007923F8" w:rsidP="007923F8">
      <w:pPr>
        <w:spacing w:line="16" w:lineRule="atLeast"/>
        <w:jc w:val="both"/>
      </w:pPr>
    </w:p>
    <w:p w14:paraId="11102AE8" w14:textId="77777777" w:rsidR="00A80D9F" w:rsidRDefault="007923F8" w:rsidP="007923F8">
      <w:pPr>
        <w:spacing w:line="16" w:lineRule="atLeast"/>
        <w:jc w:val="both"/>
      </w:pPr>
      <w:r>
        <w:t xml:space="preserve">II. Przejrzystość strategii dotyczących ryzyka dla zrównoważonego rozwoju (art. 3 ust. 1 Rozporządzenia SFDR) </w:t>
      </w:r>
    </w:p>
    <w:p w14:paraId="19BF9B62" w14:textId="6189B94E" w:rsidR="007923F8" w:rsidRDefault="007923F8" w:rsidP="007923F8">
      <w:pPr>
        <w:spacing w:line="16" w:lineRule="atLeast"/>
        <w:jc w:val="both"/>
      </w:pPr>
      <w:r>
        <w:t>Rozporządzenie SFDR wymaga od uczestników rynku finansowego opublikowania na stronie internetowej informacji na temat strategii wprowadzania do działalności ryzyk</w:t>
      </w:r>
      <w:r w:rsidR="00304C6E">
        <w:t>a</w:t>
      </w:r>
      <w:r>
        <w:t xml:space="preserve"> dla zrównoważonego rozwoju w procesie podejmowania decyzji inwestycyjnych.  </w:t>
      </w:r>
    </w:p>
    <w:p w14:paraId="66B8AE2E" w14:textId="77777777" w:rsidR="007923F8" w:rsidRDefault="007923F8" w:rsidP="007923F8">
      <w:pPr>
        <w:spacing w:line="16" w:lineRule="atLeast"/>
        <w:jc w:val="both"/>
      </w:pPr>
      <w:r>
        <w:t xml:space="preserve"> </w:t>
      </w:r>
    </w:p>
    <w:p w14:paraId="38B9A42B" w14:textId="3557E004" w:rsidR="007923F8" w:rsidRDefault="007923F8" w:rsidP="007923F8">
      <w:pPr>
        <w:spacing w:line="16" w:lineRule="atLeast"/>
        <w:jc w:val="both"/>
      </w:pPr>
      <w:r>
        <w:lastRenderedPageBreak/>
        <w:t xml:space="preserve">Zgodnie z obowiązującą w ASI Strategią Inwestycyjną (pkt V), ASI podejmuje decyzje inwestycyjne w oparciu o przeprowadzone przez siebie analizy oraz dane rynkowe. ASI może dodatkowo korzystać z analiz przeprowadzonych przez podmioty trzecie. Proces badania jest wielopłaszczyznowy i dotyczy między innymi aspektu ryzyka dla zrównoważonego rozwoju czyli zbadania czy występuje sytuacja lub warunki środowiskowe, społeczne lub związane z zarządzaniem, które – jeżeli wystąpią – mogłyby mieć, rzeczywisty lub potencjalny, istotny negatywny wpływ na wartość inwestycji. </w:t>
      </w:r>
    </w:p>
    <w:p w14:paraId="4F96FF7D" w14:textId="77777777" w:rsidR="007923F8" w:rsidRDefault="007923F8" w:rsidP="007923F8">
      <w:pPr>
        <w:spacing w:line="16" w:lineRule="atLeast"/>
        <w:jc w:val="both"/>
      </w:pPr>
    </w:p>
    <w:p w14:paraId="5F7A3CFC" w14:textId="77777777" w:rsidR="007923F8" w:rsidRDefault="007923F8" w:rsidP="007923F8">
      <w:pPr>
        <w:spacing w:line="16" w:lineRule="atLeast"/>
        <w:jc w:val="both"/>
      </w:pPr>
      <w:r>
        <w:t xml:space="preserve">III. Przejrzystość w zakresie niekorzystnych skutków dla zrównoważonego rozwoju na poziomie podmiotu (art. 4 ust. 1 oraz 7 ust. 2 Rozporządzenia SFDR) </w:t>
      </w:r>
    </w:p>
    <w:p w14:paraId="10946F89" w14:textId="298B48F2" w:rsidR="007923F8" w:rsidRDefault="007923F8" w:rsidP="007923F8">
      <w:pPr>
        <w:spacing w:line="16" w:lineRule="atLeast"/>
        <w:jc w:val="both"/>
      </w:pPr>
      <w:r>
        <w:t xml:space="preserve">Przez główne niekorzystne skutki dla zrównoważonego rozwoju należy rozumieć te skutki decyzji inwestycyjnych, które mają niekorzystny wpływ na czynniki zrównoważonego rozwoju. Przez „czynniki zrównoważonego rozwoju” rozumie się kwestie środowiskowe, społeczne i pracownicze, kwestie dotyczące poszanowania praw człowieka oraz przeciwdziałania korupcji i przekupstwu.  </w:t>
      </w:r>
    </w:p>
    <w:p w14:paraId="01325732" w14:textId="4242A6A3" w:rsidR="007923F8" w:rsidRDefault="007923F8" w:rsidP="007923F8">
      <w:pPr>
        <w:spacing w:line="16" w:lineRule="atLeast"/>
        <w:jc w:val="both"/>
      </w:pPr>
      <w:r>
        <w:t>Z</w:t>
      </w:r>
      <w:r>
        <w:t xml:space="preserve">ASI nie przewiduje brania pod uwagę głównych niekorzystnych skutków decyzji inwestycyjnych dla czynników zrównoważonego rozwoju z perspektywy oddziaływania inwestycji na otoczenie, gdyż zwiększyłoby to w sposób znaczący koszty procesu inwestycyjnego, co z uwagi na charakter </w:t>
      </w:r>
      <w:r>
        <w:t>Z</w:t>
      </w:r>
      <w:r>
        <w:t xml:space="preserve">ASI, rodzaj udostępnianych produktów oraz skalę prowadzonej działalności - ograniczyłoby rentowność ASI. </w:t>
      </w:r>
    </w:p>
    <w:p w14:paraId="1576DB2C" w14:textId="77777777" w:rsidR="007923F8" w:rsidRDefault="007923F8" w:rsidP="007923F8">
      <w:pPr>
        <w:spacing w:line="16" w:lineRule="atLeast"/>
        <w:jc w:val="both"/>
      </w:pPr>
      <w:r>
        <w:t xml:space="preserve">IV. Przejrzystość polityk wynagrodzeń w związku z wprowadzaniem do działalności </w:t>
      </w:r>
      <w:proofErr w:type="spellStart"/>
      <w:r>
        <w:t>ryzyk</w:t>
      </w:r>
      <w:proofErr w:type="spellEnd"/>
      <w:r>
        <w:t xml:space="preserve"> dla zrównoważonego rozwoju (art. 5 ust. 1 Rozporządzenia SFDR) </w:t>
      </w:r>
    </w:p>
    <w:p w14:paraId="7FDE2F02" w14:textId="2F4768BC" w:rsidR="007923F8" w:rsidRDefault="007923F8" w:rsidP="007923F8">
      <w:pPr>
        <w:spacing w:line="16" w:lineRule="atLeast"/>
        <w:jc w:val="both"/>
      </w:pPr>
      <w:r>
        <w:t xml:space="preserve">Uczestnicy rynku finansowego ujmują w swoich politykach wynagrodzeń informacje o sposobie zapewniania spójności tych polityk z wprowadzaniem do działalności </w:t>
      </w:r>
      <w:r w:rsidR="00304C6E">
        <w:t>ryzyka</w:t>
      </w:r>
      <w:r>
        <w:t xml:space="preserve"> dla zrównoważonego rozwoju oraz publikują te informacje na swoich stronach internetowych. ZASI informuje, że nie jest podmiotem zobowiązanym do przyjęcia polityki wynagrodzeń, wobec czego nie dotyczy jej powyższy wymóg.  </w:t>
      </w:r>
    </w:p>
    <w:p w14:paraId="76595D45" w14:textId="3DAD4240" w:rsidR="007923F8" w:rsidRDefault="007923F8" w:rsidP="007923F8">
      <w:pPr>
        <w:spacing w:line="16" w:lineRule="atLeast"/>
        <w:jc w:val="both"/>
      </w:pPr>
      <w:r>
        <w:t xml:space="preserve">Zgodnie z art. 13 ust. 1 dyrektywy 2011/61/UE (dalej „Dyrektywa ZAFI”)- Państwa członkowskie wymagają, aby ZAFI posiadały politykę i praktyki w zakresie wynagrodzeń; polityka i praktyki w zakresie wynagrodzeń muszą być zgodne z rozsądnym i skutecznym zarządzaniem ryzykiem i takie zarządzanie propagować oraz nie mogą sprzyjać podejmowaniu ryzyka niezgodnego z profilami ryzyka, regulaminami lub dokumentami założycielskimi AFI, którymi zarządzają.  </w:t>
      </w:r>
    </w:p>
    <w:p w14:paraId="0D604EB0" w14:textId="79BB728F" w:rsidR="007923F8" w:rsidRDefault="007923F8" w:rsidP="007923F8">
      <w:pPr>
        <w:spacing w:line="16" w:lineRule="atLeast"/>
        <w:jc w:val="both"/>
      </w:pPr>
      <w:r>
        <w:t xml:space="preserve"> ZASI nie jest zobowiązana do stosowania polityki wynagrodzeń, bowiem zgodnie z art. 3 ust. 2 Dyrektywy ZAFI powyższych postanowień nie stosuje się do ZAFI zarządzających portfelami AFI, gdy łączna wartość zarządzanych aktywów, w tym aktywów nabytych za pomocą dźwigni finansowej, ogółem nie przekracza progu 100 mln EUR; lub nie przekracza progu 500 mln EUR, gdy portfele AFI składają się z AFI, które nie stosują dźwigni finansowej, i w których prawa do umorzenia nie mogą być wykonywane przez okres pięciu lat od daty początkowej inwestycji w każdy AFI.  </w:t>
      </w:r>
    </w:p>
    <w:p w14:paraId="69EB3BF1" w14:textId="257584EA" w:rsidR="007923F8" w:rsidRDefault="007923F8" w:rsidP="007923F8">
      <w:pPr>
        <w:spacing w:line="16" w:lineRule="atLeast"/>
        <w:jc w:val="both"/>
      </w:pPr>
      <w:r>
        <w:t xml:space="preserve"> Na gruncie prawa polskiego zgodnie z art. 70zb ust. 4 Ustawy z dnia 27 maja 2004 r. o funduszach inwestycyjnych i zarządzaniu alternatywnymi funduszami inwestycyjnymi (Dz. U. z 2022 poz. 1523 z </w:t>
      </w:r>
      <w:proofErr w:type="spellStart"/>
      <w:r>
        <w:t>późn</w:t>
      </w:r>
      <w:proofErr w:type="spellEnd"/>
      <w:r>
        <w:t xml:space="preserve">. zm.) ZASI także jest zwolniona z obowiązku opracowania i wdrożenia polityki wynagrodzenia. </w:t>
      </w:r>
    </w:p>
    <w:p w14:paraId="006772E8" w14:textId="77777777" w:rsidR="007923F8" w:rsidRDefault="007923F8" w:rsidP="007923F8">
      <w:pPr>
        <w:spacing w:line="16" w:lineRule="atLeast"/>
        <w:jc w:val="both"/>
      </w:pPr>
      <w:r>
        <w:t xml:space="preserve"> </w:t>
      </w:r>
    </w:p>
    <w:p w14:paraId="4626D922" w14:textId="2878BDBB" w:rsidR="007923F8" w:rsidRDefault="007923F8" w:rsidP="007923F8">
      <w:pPr>
        <w:spacing w:line="16" w:lineRule="atLeast"/>
        <w:jc w:val="both"/>
      </w:pPr>
      <w:r>
        <w:t xml:space="preserve">V. Przejrzystość w zakresie wprowadzania do działalności </w:t>
      </w:r>
      <w:proofErr w:type="spellStart"/>
      <w:r>
        <w:t>ryzyk</w:t>
      </w:r>
      <w:proofErr w:type="spellEnd"/>
      <w:r>
        <w:t xml:space="preserve"> dla zrównoważonego rozwoju (art. 6 ust. 1 Rozporządzenia SFDR) </w:t>
      </w:r>
    </w:p>
    <w:p w14:paraId="42858821" w14:textId="3B1375AB" w:rsidR="007923F8" w:rsidRDefault="007923F8" w:rsidP="007923F8">
      <w:pPr>
        <w:spacing w:line="16" w:lineRule="atLeast"/>
        <w:jc w:val="both"/>
      </w:pPr>
      <w:r>
        <w:lastRenderedPageBreak/>
        <w:t xml:space="preserve">Uczestnicy rynku finansowego włączają do informacji ujawnianych przed zawarciem umowy opis następujących elementów:  </w:t>
      </w:r>
    </w:p>
    <w:p w14:paraId="70DFC49D" w14:textId="0A142305" w:rsidR="007923F8" w:rsidRDefault="007923F8" w:rsidP="007923F8">
      <w:pPr>
        <w:spacing w:line="16" w:lineRule="atLeast"/>
        <w:jc w:val="both"/>
      </w:pPr>
      <w:r>
        <w:t xml:space="preserve"> a) sposób, w jaki ryzyka dla zrównoważonego rozwoju są wprowadzane w podejmowanych przez nich decyzjach inwestycyjnych; oraz  </w:t>
      </w:r>
    </w:p>
    <w:p w14:paraId="6EA534B3" w14:textId="41901D41" w:rsidR="007923F8" w:rsidRDefault="007923F8" w:rsidP="007923F8">
      <w:pPr>
        <w:spacing w:line="16" w:lineRule="atLeast"/>
        <w:jc w:val="both"/>
      </w:pPr>
      <w:r>
        <w:t>b) wyniki oceny prawdopodobnego wpływu ryzyk</w:t>
      </w:r>
      <w:r w:rsidR="00AE6A4A">
        <w:t>a</w:t>
      </w:r>
      <w:r>
        <w:t xml:space="preserve"> dla zrównoważonego rozwoju na zwrot z tytułu produktów finansowych, które udostępniają.  </w:t>
      </w:r>
    </w:p>
    <w:p w14:paraId="7D184AD4" w14:textId="38BF2823" w:rsidR="007923F8" w:rsidRDefault="007923F8" w:rsidP="007923F8">
      <w:pPr>
        <w:spacing w:line="16" w:lineRule="atLeast"/>
        <w:jc w:val="both"/>
      </w:pPr>
      <w:r>
        <w:t xml:space="preserve"> W przypadku gdy uczestnicy rynku finansowego uznają, że ryzyka dla zrównoważonego rozwoju są nieznaczące, opis elementów, o których mowa w akapicie pierwszym, obejmuje jasne i zwięzłe wyjaśnienie przyczyn uznania t</w:t>
      </w:r>
      <w:r w:rsidR="00A80753">
        <w:t>ego</w:t>
      </w:r>
      <w:r>
        <w:t xml:space="preserve"> ryzyk</w:t>
      </w:r>
      <w:r w:rsidR="00A80753">
        <w:t>a</w:t>
      </w:r>
      <w:r>
        <w:t xml:space="preserve"> za nieznaczące. ASI w swojej strategii inwestycyjnej, która jest ujawniona każdemu inwestorowi przed przystąpieniem do ASI, informuje o opisanych powyżej kwestiach. </w:t>
      </w:r>
    </w:p>
    <w:p w14:paraId="67C3761E" w14:textId="77777777" w:rsidR="007923F8" w:rsidRDefault="007923F8" w:rsidP="007923F8">
      <w:pPr>
        <w:spacing w:line="16" w:lineRule="atLeast"/>
        <w:jc w:val="both"/>
      </w:pPr>
    </w:p>
    <w:p w14:paraId="26B26521" w14:textId="765A2F2B" w:rsidR="007923F8" w:rsidRDefault="007923F8" w:rsidP="007923F8">
      <w:pPr>
        <w:spacing w:line="16" w:lineRule="atLeast"/>
        <w:jc w:val="both"/>
      </w:pPr>
      <w:r>
        <w:t xml:space="preserve">VI. Przejrzystość w zakresie promowania aspektu środowiskowego lub społecznego w informacjach ujawnianych przed zawarciem umowy (art. 8, art. 9, art. 10 ust. 1 Rozporządzenia SFDR) </w:t>
      </w:r>
    </w:p>
    <w:p w14:paraId="0553AF1B" w14:textId="50974739" w:rsidR="007923F8" w:rsidRDefault="007923F8" w:rsidP="007923F8">
      <w:pPr>
        <w:spacing w:line="16" w:lineRule="atLeast"/>
        <w:jc w:val="both"/>
      </w:pPr>
      <w:r>
        <w:t xml:space="preserve">ZASI nie oferuje produktów finansowych promujących aspekt środowiskowy lub społeczny (lub oba te aspekty), albo mających na celu zrównoważone inwestycje. </w:t>
      </w:r>
    </w:p>
    <w:p w14:paraId="0C7E1038" w14:textId="77777777" w:rsidR="007923F8" w:rsidRDefault="007923F8" w:rsidP="007923F8">
      <w:pPr>
        <w:spacing w:line="16" w:lineRule="atLeast"/>
        <w:jc w:val="both"/>
      </w:pPr>
    </w:p>
    <w:p w14:paraId="76715DD2" w14:textId="569425E1" w:rsidR="007923F8" w:rsidRDefault="007923F8" w:rsidP="007923F8">
      <w:pPr>
        <w:spacing w:line="16" w:lineRule="atLeast"/>
        <w:jc w:val="both"/>
      </w:pPr>
      <w:r>
        <w:t xml:space="preserve">VII. Informacje dodatkowe </w:t>
      </w:r>
    </w:p>
    <w:p w14:paraId="2D5849FE" w14:textId="6EE3ED64" w:rsidR="007923F8" w:rsidRDefault="007923F8" w:rsidP="007923F8">
      <w:pPr>
        <w:spacing w:line="16" w:lineRule="atLeast"/>
        <w:jc w:val="both"/>
      </w:pPr>
      <w:r>
        <w:t xml:space="preserve">1. ZASI zapewnia, aby wszelkie informacje publikowane zgodnie z art. 3, 5 lub 10 Rozporządzenia SFDR były na bieżąco aktualizowane. W przypadku gdy uczestnik rynku finansowego zmienia takie informacje, publikuje na tej samej stronie internetowej zrozumiałe wyjaśnienie takiej zmiany (art 12 Rozporządzenia SFDR). </w:t>
      </w:r>
    </w:p>
    <w:p w14:paraId="2F1B6812" w14:textId="77777777" w:rsidR="007923F8" w:rsidRDefault="007923F8" w:rsidP="007923F8">
      <w:pPr>
        <w:spacing w:line="16" w:lineRule="atLeast"/>
        <w:jc w:val="both"/>
      </w:pPr>
      <w:r>
        <w:t xml:space="preserve"> </w:t>
      </w:r>
    </w:p>
    <w:p w14:paraId="11BA640E" w14:textId="78323D85" w:rsidR="007923F8" w:rsidRDefault="007923F8" w:rsidP="007923F8">
      <w:pPr>
        <w:spacing w:line="16" w:lineRule="atLeast"/>
        <w:jc w:val="both"/>
      </w:pPr>
      <w:r>
        <w:t>2. ROZPORZĄDZENIE DELEGOWANE KOMISJI (UE) 2021/1255 z dnia 21 kwietnia 2021 r. zmieniające rozporządzenie delegowane (UE) nr 231/2013 w odniesieniu do ryzyk</w:t>
      </w:r>
      <w:r w:rsidR="0051727A">
        <w:t>a</w:t>
      </w:r>
      <w:r>
        <w:t xml:space="preserve"> dla zrównoważonego rozwoju i czynników zrównoważonego rozwoju, które muszą być uwzględniane przez zarządzających alternatywnymi funduszami inwestycyjnymi wprowadziło zmiany w zakresie: a) zasobów ZASI (art 22 Rozporządzenia 231/2013); b) rodzajów konfliktów interesów (art. 30 Rozporządzenia 231/2013); c) polityki zarządzania ryzykiem (art. 40 Rozporządzenia 231/2013); d) wymogów organizacyjnych (art. 57 Rozporządzenia 231/2013); e) kontroli (art 60 Rozporządzenia 231/2013). Powyższe zmiany nie znajdą zastosowania do ZASI/ASI, bowiem zgodnie z art. 3 ust. 2 Dyrektywy ZAFI powyższych postanowień nie stosuje się do ZAFI zarządzających portfelami AFI, gdy łączna wartość zarządzanych aktywów, w tym aktywów nabytych za pomocą dźwigni finansowej, ogółem nie przekracza progu 100 mln EUR; lub nie przekracza progu 500 mln EUR, gdy portfele AFI składają się z AFI, które nie stosują dźwigni finansowej, i w których prawa do umorzenia nie mogą być wykonywane przez okres pięciu lat od daty początkowej inwestycji w każdy AFI. </w:t>
      </w:r>
    </w:p>
    <w:p w14:paraId="369D2D9A" w14:textId="77777777" w:rsidR="007923F8" w:rsidRDefault="007923F8" w:rsidP="007923F8">
      <w:pPr>
        <w:spacing w:line="16" w:lineRule="atLeast"/>
        <w:jc w:val="both"/>
      </w:pPr>
      <w:r>
        <w:t xml:space="preserve"> </w:t>
      </w:r>
    </w:p>
    <w:p w14:paraId="21B10869" w14:textId="1AD86238" w:rsidR="003F42B8" w:rsidRDefault="007923F8" w:rsidP="007923F8">
      <w:pPr>
        <w:spacing w:line="16" w:lineRule="atLeast"/>
        <w:jc w:val="both"/>
      </w:pPr>
      <w:r>
        <w:t>3. Oświadczenie zgodne z art. 7 ROZPORZĄDZENIE PARLAMENTU EUROPEJSKIEGO I RADY (UE) 2020/852 z dnia 18 czerwca 2020 r. w sprawie ustanowienia ram ułatwiających zrównoważone inwestycje, zmieniające rozporządzenie (UE) 2019/2088 (Dz.U.UE.L.2020.198.13 z dnia 2020.06.22): Inwestycje w ramach tego produktu finansowego (ASI) nie uwzględniają unijnych kryteriów dotyczących zrównoważonej środowiskowo działalności gospodarczej.</w:t>
      </w:r>
    </w:p>
    <w:sectPr w:rsidR="003F4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F8"/>
    <w:rsid w:val="00304C6E"/>
    <w:rsid w:val="003F42B8"/>
    <w:rsid w:val="0051727A"/>
    <w:rsid w:val="0054331F"/>
    <w:rsid w:val="006842B9"/>
    <w:rsid w:val="007923F8"/>
    <w:rsid w:val="00970389"/>
    <w:rsid w:val="00A11F7A"/>
    <w:rsid w:val="00A80753"/>
    <w:rsid w:val="00A80D9F"/>
    <w:rsid w:val="00AE6A4A"/>
    <w:rsid w:val="00B506FB"/>
    <w:rsid w:val="00C721F5"/>
    <w:rsid w:val="00D86E3D"/>
    <w:rsid w:val="00F5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C549"/>
  <w15:chartTrackingRefBased/>
  <w15:docId w15:val="{27CAFC9C-40CA-4238-935B-14A39646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2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2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2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2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2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2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2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2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2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2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2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2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23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23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23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23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23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23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2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2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2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2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2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23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23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23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2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23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23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3</Pages>
  <Words>1223</Words>
  <Characters>8184</Characters>
  <Application>Microsoft Office Word</Application>
  <DocSecurity>0</DocSecurity>
  <Lines>167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Kwiatkowski</dc:creator>
  <cp:keywords/>
  <dc:description/>
  <cp:lastModifiedBy>Michal Kwiatkowski</cp:lastModifiedBy>
  <cp:revision>10</cp:revision>
  <dcterms:created xsi:type="dcterms:W3CDTF">2025-11-13T17:13:00Z</dcterms:created>
  <dcterms:modified xsi:type="dcterms:W3CDTF">2025-11-14T09:56:00Z</dcterms:modified>
</cp:coreProperties>
</file>